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黑体" w:eastAsia="方正小标宋简体"/>
          <w:sz w:val="44"/>
          <w:szCs w:val="44"/>
        </w:rPr>
      </w:pPr>
      <w:bookmarkStart w:id="3" w:name="_GoBack"/>
      <w:bookmarkEnd w:id="3"/>
      <w:r>
        <w:rPr>
          <w:rFonts w:hint="eastAsia" w:ascii="方正小标宋简体" w:hAnsi="黑体" w:eastAsia="方正小标宋简体"/>
          <w:sz w:val="44"/>
          <w:szCs w:val="44"/>
        </w:rPr>
        <w:t>大厂回族自治县粮食局</w:t>
      </w:r>
      <w:r>
        <w:rPr>
          <w:rFonts w:ascii="方正小标宋简体" w:hAnsi="黑体" w:eastAsia="方正小标宋简体"/>
          <w:sz w:val="44"/>
          <w:szCs w:val="44"/>
        </w:rPr>
        <w:t>201</w:t>
      </w:r>
      <w:r>
        <w:rPr>
          <w:rFonts w:hint="eastAsia" w:ascii="方正小标宋简体" w:hAnsi="黑体" w:eastAsia="方正小标宋简体"/>
          <w:sz w:val="44"/>
          <w:szCs w:val="44"/>
        </w:rPr>
        <w:t>9年部门预算信息公开情况说明</w:t>
      </w:r>
    </w:p>
    <w:p>
      <w:pPr>
        <w:ind w:firstLine="880" w:firstLineChars="200"/>
        <w:jc w:val="center"/>
        <w:rPr>
          <w:rFonts w:ascii="方正黑体_GBK" w:hAnsi="Times New Roman" w:eastAsia="方正黑体_GBK"/>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按照《中华人民共和国预算法》、《地方预决算公开操作规程》和《河北省省级预算公开办法》规定，现将大厂回族自治县粮食局</w:t>
      </w:r>
      <w:r>
        <w:rPr>
          <w:rFonts w:ascii="仿宋" w:hAnsi="仿宋" w:eastAsia="仿宋"/>
          <w:sz w:val="32"/>
          <w:szCs w:val="32"/>
        </w:rPr>
        <w:t>201</w:t>
      </w:r>
      <w:r>
        <w:rPr>
          <w:rFonts w:hint="eastAsia" w:ascii="仿宋" w:hAnsi="仿宋" w:eastAsia="仿宋"/>
          <w:sz w:val="32"/>
          <w:szCs w:val="32"/>
        </w:rPr>
        <w:t>9年部门预算公开如下：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spacing w:line="580" w:lineRule="atLeast"/>
        <w:ind w:firstLine="643" w:firstLineChars="200"/>
        <w:rPr>
          <w:rFonts w:ascii="仿宋" w:hAnsi="仿宋" w:eastAsia="仿宋"/>
          <w:b/>
          <w:sz w:val="32"/>
          <w:szCs w:val="32"/>
        </w:rPr>
      </w:pPr>
      <w:r>
        <w:rPr>
          <w:rFonts w:hint="eastAsia" w:ascii="楷体" w:hAnsi="楷体" w:eastAsia="楷体"/>
          <w:b/>
          <w:sz w:val="32"/>
          <w:szCs w:val="32"/>
        </w:rPr>
        <w:t>部门职责：</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（一）组织落实国家、省、市有关粮食流通的法规、政策</w:t>
      </w:r>
      <w:r>
        <w:rPr>
          <w:rFonts w:ascii="仿宋" w:hAnsi="仿宋" w:eastAsia="仿宋"/>
          <w:sz w:val="32"/>
          <w:szCs w:val="32"/>
        </w:rPr>
        <w:t>;</w:t>
      </w:r>
      <w:r>
        <w:rPr>
          <w:rFonts w:hint="eastAsia" w:ascii="仿宋" w:hAnsi="仿宋" w:eastAsia="仿宋"/>
          <w:sz w:val="32"/>
          <w:szCs w:val="32"/>
        </w:rPr>
        <w:t>研究拟订全县粮食流通政策、制度</w:t>
      </w:r>
      <w:r>
        <w:rPr>
          <w:rFonts w:ascii="仿宋" w:hAnsi="仿宋" w:eastAsia="仿宋"/>
          <w:sz w:val="32"/>
          <w:szCs w:val="32"/>
        </w:rPr>
        <w:t>,</w:t>
      </w:r>
      <w:r>
        <w:rPr>
          <w:rFonts w:hint="eastAsia" w:ascii="仿宋" w:hAnsi="仿宋" w:eastAsia="仿宋"/>
          <w:sz w:val="32"/>
          <w:szCs w:val="32"/>
        </w:rPr>
        <w:t>指导全县粮食流通体制改革。</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（二）拟订全县粮食流通发展规划和年度计划，拟订全县粮食流通产业结构调整和布局调整实施意见。</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（三）负责落实粮食最低收购价政策，组织协调全县粮食收购工作，掌握粮源；组织指导全县粮食市场供应，保障军供民需及灾区、缺粮地区粮食供应。</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四）负责县级储备粮的行政管理工作，监督检查县级储备粮的数量、质量和储存安全；研究提出县级储备粮的规模、布局、轮换、动用建议，报经县政府同意后组织落实；依照国家、省、市、县有关规定，制定县级储备粮各项业务管理制度和相关技术规范并监督执行；指导农村粮食储存工作。</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（五）培育和完善粮食市场体系，按照有关规定管理粮食市场，维护粮食流通秩序。</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（六）根据有关法律法规，对社会粮食流通进行行政执法，依法实施行政处罚；做好粮食收购企业入市资格核准工作。</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（七）会同有关部门建立和管理粮食风险基金；会同有关部门监督管理粮食收购资金。</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（八）指导全县粮食储存保管及安全生产工作，负责对粮食收购、储存环节的粮食质量安全和原粮卫生进行监督管理；负责贯彻落实国家、省粮食质量标准工作，落实粮食检验政策、制度和办法。</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（九）负责全县社会粮食流通、仓储设施、粮油加工的行业管理和统计工作；推动粮食流通行业技术改造和新技术推广工作；负责行业对外交流与合作；指导粮食企业改革和产业化发展工作。</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（十）拟订全县粮食应急预案，在粮食市场供求出现异常波动时，提出启动应急预案的建议，报县政府批准后组织实施。</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（十一）提出粮食政策性资金和专项资金的安排、使用建议；管理机关财务和粮食系统国有资产；负责行业职工培训教育工作。</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（十二）承办县政府交办的其他事项。</w:t>
      </w: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仿宋" w:hAnsi="仿宋" w:eastAsia="仿宋"/>
          <w:sz w:val="32"/>
          <w:szCs w:val="32"/>
        </w:rPr>
      </w:pPr>
      <w:r>
        <w:rPr>
          <w:rFonts w:hint="eastAsia" w:ascii="仿宋" w:hAnsi="仿宋" w:eastAsia="仿宋"/>
          <w:sz w:val="32"/>
          <w:szCs w:val="32"/>
        </w:rPr>
        <w:t>部门机构设置情况</w:t>
      </w:r>
    </w:p>
    <w:tbl>
      <w:tblPr>
        <w:tblStyle w:val="7"/>
        <w:tblW w:w="100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4"/>
        <w:gridCol w:w="1572"/>
        <w:gridCol w:w="1405"/>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94"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单位名称</w:t>
            </w:r>
          </w:p>
        </w:tc>
        <w:tc>
          <w:tcPr>
            <w:tcW w:w="1572"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单位性质</w:t>
            </w:r>
          </w:p>
        </w:tc>
        <w:tc>
          <w:tcPr>
            <w:tcW w:w="1405"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单位规格</w:t>
            </w:r>
          </w:p>
        </w:tc>
        <w:tc>
          <w:tcPr>
            <w:tcW w:w="2642"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94" w:type="dxa"/>
            <w:vMerge w:val="continue"/>
            <w:vAlign w:val="center"/>
          </w:tcPr>
          <w:p>
            <w:pPr>
              <w:spacing w:line="300" w:lineRule="exact"/>
              <w:jc w:val="left"/>
              <w:outlineLvl w:val="0"/>
              <w:rPr>
                <w:rFonts w:ascii="仿宋" w:hAnsi="仿宋" w:eastAsia="仿宋"/>
                <w:sz w:val="32"/>
                <w:szCs w:val="32"/>
              </w:rPr>
            </w:pPr>
          </w:p>
        </w:tc>
        <w:tc>
          <w:tcPr>
            <w:tcW w:w="1572" w:type="dxa"/>
            <w:vMerge w:val="continue"/>
            <w:vAlign w:val="center"/>
          </w:tcPr>
          <w:p>
            <w:pPr>
              <w:spacing w:line="300" w:lineRule="exact"/>
              <w:jc w:val="left"/>
              <w:outlineLvl w:val="0"/>
              <w:rPr>
                <w:rFonts w:ascii="仿宋" w:hAnsi="仿宋" w:eastAsia="仿宋"/>
                <w:sz w:val="32"/>
                <w:szCs w:val="32"/>
              </w:rPr>
            </w:pPr>
          </w:p>
        </w:tc>
        <w:tc>
          <w:tcPr>
            <w:tcW w:w="1405" w:type="dxa"/>
            <w:vMerge w:val="continue"/>
            <w:vAlign w:val="center"/>
          </w:tcPr>
          <w:p>
            <w:pPr>
              <w:spacing w:line="300" w:lineRule="exact"/>
              <w:jc w:val="left"/>
              <w:outlineLvl w:val="0"/>
              <w:rPr>
                <w:rFonts w:ascii="仿宋" w:hAnsi="仿宋" w:eastAsia="仿宋"/>
                <w:sz w:val="32"/>
                <w:szCs w:val="32"/>
              </w:rPr>
            </w:pPr>
          </w:p>
        </w:tc>
        <w:tc>
          <w:tcPr>
            <w:tcW w:w="2642" w:type="dxa"/>
            <w:vMerge w:val="continue"/>
            <w:vAlign w:val="center"/>
          </w:tcPr>
          <w:p>
            <w:pPr>
              <w:spacing w:line="300" w:lineRule="exact"/>
              <w:jc w:val="left"/>
              <w:outlineLvl w:val="0"/>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4394"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大厂回族自治县粮食局</w:t>
            </w:r>
          </w:p>
        </w:tc>
        <w:tc>
          <w:tcPr>
            <w:tcW w:w="1572"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事业</w:t>
            </w:r>
          </w:p>
        </w:tc>
        <w:tc>
          <w:tcPr>
            <w:tcW w:w="1405"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正科级</w:t>
            </w:r>
          </w:p>
        </w:tc>
        <w:tc>
          <w:tcPr>
            <w:tcW w:w="2642"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财政性资金基本保证</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按照预算管理有关规定，目前我部门预算的编制实行综合预算制度，即全部收入和支出都反映在预算中。我部门全部收支包含在部门预算中。</w:t>
      </w:r>
    </w:p>
    <w:p>
      <w:pPr>
        <w:spacing w:line="560" w:lineRule="exact"/>
        <w:ind w:firstLine="643" w:firstLineChars="20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widowControl/>
        <w:spacing w:before="150" w:line="420" w:lineRule="atLeast"/>
        <w:ind w:firstLine="560"/>
        <w:jc w:val="left"/>
        <w:rPr>
          <w:rFonts w:ascii="仿宋" w:hAnsi="仿宋" w:eastAsia="仿宋"/>
          <w:sz w:val="32"/>
          <w:szCs w:val="32"/>
        </w:rPr>
      </w:pPr>
      <w:r>
        <w:rPr>
          <w:rFonts w:hint="eastAsia" w:ascii="仿宋" w:hAnsi="仿宋" w:eastAsia="仿宋" w:cs="仿宋"/>
          <w:sz w:val="32"/>
          <w:szCs w:val="32"/>
        </w:rPr>
        <w:t>反映本部门当年全部收入。</w:t>
      </w:r>
      <w:r>
        <w:rPr>
          <w:rFonts w:ascii="仿宋" w:hAnsi="仿宋" w:eastAsia="仿宋"/>
          <w:sz w:val="32"/>
          <w:szCs w:val="32"/>
        </w:rPr>
        <w:t>201</w:t>
      </w:r>
      <w:r>
        <w:rPr>
          <w:rFonts w:hint="eastAsia" w:ascii="仿宋" w:hAnsi="仿宋" w:eastAsia="仿宋"/>
          <w:sz w:val="32"/>
          <w:szCs w:val="32"/>
        </w:rPr>
        <w:t>9年预算收入283.83万元。其中：一般公共预算收入283.83万元，政府性基金收入</w:t>
      </w:r>
      <w:r>
        <w:rPr>
          <w:rFonts w:ascii="仿宋" w:hAnsi="仿宋" w:eastAsia="仿宋"/>
          <w:sz w:val="32"/>
          <w:szCs w:val="32"/>
        </w:rPr>
        <w:t>0</w:t>
      </w:r>
      <w:r>
        <w:rPr>
          <w:rFonts w:hint="eastAsia" w:ascii="仿宋" w:hAnsi="仿宋" w:eastAsia="仿宋"/>
          <w:sz w:val="32"/>
          <w:szCs w:val="32"/>
        </w:rPr>
        <w:t>万元，国有资本经营收入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spacing w:line="560" w:lineRule="exact"/>
        <w:ind w:firstLine="643" w:firstLineChars="200"/>
        <w:rPr>
          <w:rFonts w:ascii="Times New Roman" w:hAnsi="Times New Roman" w:eastAsia="方正仿宋_GBK"/>
          <w:sz w:val="32"/>
          <w:szCs w:val="32"/>
        </w:rPr>
      </w:pPr>
      <w:r>
        <w:rPr>
          <w:rFonts w:ascii="楷体" w:hAnsi="楷体" w:eastAsia="楷体"/>
          <w:b/>
          <w:sz w:val="32"/>
          <w:szCs w:val="32"/>
        </w:rPr>
        <w:t>2</w:t>
      </w:r>
      <w:r>
        <w:rPr>
          <w:rFonts w:hint="eastAsia" w:ascii="楷体" w:hAnsi="楷体" w:eastAsia="楷体"/>
          <w:b/>
          <w:sz w:val="32"/>
          <w:szCs w:val="32"/>
        </w:rPr>
        <w:t>、支出说明</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收支预算总表支出栏、基本支出表、项目支出表按经济分类和支出功能分类科目编制，反映大厂回族自治县粮食局年度部门预算中支出预算的总体情况。</w:t>
      </w:r>
      <w:r>
        <w:rPr>
          <w:rFonts w:ascii="仿宋" w:hAnsi="仿宋" w:eastAsia="仿宋"/>
          <w:sz w:val="32"/>
          <w:szCs w:val="32"/>
        </w:rPr>
        <w:t>201</w:t>
      </w:r>
      <w:r>
        <w:rPr>
          <w:rFonts w:hint="eastAsia" w:ascii="仿宋" w:hAnsi="仿宋" w:eastAsia="仿宋"/>
          <w:sz w:val="32"/>
          <w:szCs w:val="32"/>
        </w:rPr>
        <w:t>9年支出预算283.83万元，其中基本支出267.23万元，包括人员经费228.52万元和公用经费38.71万元；项目支出16.60万元，均为本级支出，主要为县级储备粮管理费。</w:t>
      </w:r>
    </w:p>
    <w:p>
      <w:pPr>
        <w:spacing w:line="560" w:lineRule="exact"/>
        <w:ind w:firstLine="643" w:firstLineChars="20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widowControl/>
        <w:spacing w:before="150" w:line="420" w:lineRule="atLeast"/>
        <w:ind w:firstLine="557"/>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9年预算收支安排283.83万元，较</w:t>
      </w:r>
      <w:r>
        <w:rPr>
          <w:rFonts w:ascii="仿宋" w:hAnsi="仿宋" w:eastAsia="仿宋"/>
          <w:sz w:val="32"/>
          <w:szCs w:val="32"/>
        </w:rPr>
        <w:t>201</w:t>
      </w:r>
      <w:r>
        <w:rPr>
          <w:rFonts w:hint="eastAsia" w:ascii="仿宋" w:hAnsi="仿宋" w:eastAsia="仿宋"/>
          <w:sz w:val="32"/>
          <w:szCs w:val="32"/>
        </w:rPr>
        <w:t>8年预算减少23.93万元。其中：基本支出增加20.97万元，主要为人员经费支出增加；项目支出减少44.90元，主要为减少粮改资金、粮食统计调查、粮食行政执法等经费支出减少。</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仿宋" w:eastAsia="仿宋"/>
          <w:sz w:val="32"/>
          <w:szCs w:val="32"/>
        </w:rPr>
        <w:t>2019年机关运行经费共计安排38.71万元，主要用于办公区的日常维修、办公用房水电费、办公用房取暖费、办公用房物业管理费等日常运行支出。</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56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9年，我单位“三公”经费预算安排2.00万元，其中因公出国（境）费</w:t>
      </w:r>
      <w:r>
        <w:rPr>
          <w:rFonts w:ascii="仿宋" w:hAnsi="仿宋" w:eastAsia="仿宋"/>
          <w:sz w:val="32"/>
          <w:szCs w:val="32"/>
        </w:rPr>
        <w:t>0</w:t>
      </w:r>
      <w:r>
        <w:rPr>
          <w:rFonts w:hint="eastAsia" w:ascii="仿宋" w:hAnsi="仿宋" w:eastAsia="仿宋"/>
          <w:sz w:val="32"/>
          <w:szCs w:val="32"/>
        </w:rPr>
        <w:t>万元；公务用车购置及运维费2.00万元（其中：公务用车购置费为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2.</w:t>
      </w:r>
      <w:r>
        <w:rPr>
          <w:rFonts w:hint="eastAsia" w:ascii="仿宋" w:hAnsi="仿宋" w:eastAsia="仿宋"/>
          <w:sz w:val="32"/>
          <w:szCs w:val="32"/>
        </w:rPr>
        <w:t>00万元），比</w:t>
      </w:r>
      <w:r>
        <w:rPr>
          <w:rFonts w:ascii="仿宋" w:hAnsi="仿宋" w:eastAsia="仿宋"/>
          <w:sz w:val="32"/>
          <w:szCs w:val="32"/>
        </w:rPr>
        <w:t>201</w:t>
      </w:r>
      <w:r>
        <w:rPr>
          <w:rFonts w:hint="eastAsia" w:ascii="仿宋" w:hAnsi="仿宋" w:eastAsia="仿宋"/>
          <w:sz w:val="32"/>
          <w:szCs w:val="32"/>
        </w:rPr>
        <w:t>8年减少0.2万元，公务用车严格按照管理办法执行，节约开支，故有所减少；公务接待费0万元，与</w:t>
      </w:r>
      <w:r>
        <w:rPr>
          <w:rFonts w:ascii="仿宋" w:hAnsi="仿宋" w:eastAsia="仿宋"/>
          <w:sz w:val="32"/>
          <w:szCs w:val="32"/>
        </w:rPr>
        <w:t>201</w:t>
      </w:r>
      <w:r>
        <w:rPr>
          <w:rFonts w:hint="eastAsia" w:ascii="仿宋" w:hAnsi="仿宋" w:eastAsia="仿宋"/>
          <w:sz w:val="32"/>
          <w:szCs w:val="32"/>
        </w:rPr>
        <w:t>8年减少0.11万元，主要减少原因我单位严格按照公务接待管理办法执行，切实落实勤俭节约各项规定，严格控制公务接待费支出，故有所减少。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五、绩效预算信息</w:t>
      </w:r>
    </w:p>
    <w:p>
      <w:pPr>
        <w:spacing w:line="560" w:lineRule="exact"/>
        <w:ind w:firstLine="643" w:firstLineChars="200"/>
        <w:rPr>
          <w:rFonts w:ascii="楷体" w:hAnsi="楷体" w:eastAsia="楷体"/>
          <w:b/>
          <w:sz w:val="32"/>
          <w:szCs w:val="32"/>
        </w:rPr>
      </w:pPr>
      <w:bookmarkStart w:id="0" w:name="_Toc471398463"/>
      <w:r>
        <w:rPr>
          <w:rFonts w:hint="eastAsia" w:ascii="楷体" w:hAnsi="楷体" w:eastAsia="楷体"/>
          <w:b/>
          <w:sz w:val="32"/>
          <w:szCs w:val="32"/>
        </w:rPr>
        <w:t>总体绩效目标：</w:t>
      </w:r>
    </w:p>
    <w:p>
      <w:pPr>
        <w:widowControl/>
        <w:spacing w:line="420" w:lineRule="atLeast"/>
        <w:ind w:firstLine="557"/>
        <w:jc w:val="left"/>
        <w:rPr>
          <w:rFonts w:ascii="仿宋" w:hAnsi="仿宋" w:eastAsia="仿宋"/>
          <w:sz w:val="32"/>
          <w:szCs w:val="32"/>
        </w:rPr>
      </w:pPr>
      <w:r>
        <w:rPr>
          <w:rFonts w:ascii="Verdana" w:hAnsi="Verdana" w:cs="宋体"/>
          <w:b/>
          <w:bCs/>
          <w:color w:val="484747"/>
          <w:kern w:val="0"/>
          <w:sz w:val="28"/>
          <w:szCs w:val="28"/>
        </w:rPr>
        <w:t> </w:t>
      </w:r>
      <w:r>
        <w:rPr>
          <w:rFonts w:ascii="Verdana" w:hAnsi="Verdana" w:cs="宋体"/>
          <w:b/>
          <w:bCs/>
          <w:color w:val="484747"/>
          <w:kern w:val="0"/>
          <w:szCs w:val="21"/>
        </w:rPr>
        <w:t>  </w:t>
      </w: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、年度发展规划目标</w:t>
      </w:r>
      <w:r>
        <w:rPr>
          <w:rFonts w:ascii="仿宋" w:hAnsi="仿宋" w:eastAsia="仿宋"/>
          <w:sz w:val="32"/>
          <w:szCs w:val="32"/>
        </w:rPr>
        <w:br w:type="textWrapping"/>
      </w:r>
      <w:r>
        <w:rPr>
          <w:rFonts w:ascii="仿宋" w:hAnsi="仿宋" w:eastAsia="仿宋"/>
          <w:sz w:val="32"/>
          <w:szCs w:val="32"/>
        </w:rPr>
        <w:t>  </w:t>
      </w:r>
      <w:r>
        <w:rPr>
          <w:rFonts w:hint="eastAsia" w:ascii="仿宋" w:hAnsi="仿宋" w:eastAsia="仿宋"/>
          <w:sz w:val="32"/>
          <w:szCs w:val="32"/>
        </w:rPr>
        <w:t>全面</w:t>
      </w:r>
      <w:r>
        <w:rPr>
          <w:rFonts w:hint="eastAsia" w:ascii="仿宋" w:hAnsi="仿宋" w:eastAsia="仿宋"/>
          <w:sz w:val="32"/>
          <w:szCs w:val="32"/>
          <w:lang w:eastAsia="zh-CN"/>
        </w:rPr>
        <w:t>贯彻落实</w:t>
      </w:r>
      <w:r>
        <w:rPr>
          <w:rFonts w:hint="eastAsia" w:ascii="仿宋" w:hAnsi="仿宋" w:eastAsia="仿宋"/>
          <w:sz w:val="32"/>
          <w:szCs w:val="32"/>
        </w:rPr>
        <w:t>《粮食流通管理条例》，做好本地区粮食流通的管理，搞好全县的粮食宏观调控。</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调查统计社会粮食生产、流通、加工、储存、消费等情况，把大厂县境内所在参与粮食流通的企业的统计业务活动纳入管理，实现统计原始记录、统计台账、统计档案等基础工作的规范化。</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培育和完善粮食市场体系，制定粮食批发市场发展规划和管理办法，维护好粮食流通秩序。</w:t>
      </w:r>
    </w:p>
    <w:p>
      <w:pPr>
        <w:widowControl/>
        <w:spacing w:line="420" w:lineRule="atLeast"/>
        <w:ind w:firstLine="557"/>
        <w:jc w:val="left"/>
        <w:rPr>
          <w:rFonts w:ascii="仿宋" w:hAnsi="仿宋" w:eastAsia="仿宋"/>
          <w:sz w:val="32"/>
          <w:szCs w:val="32"/>
        </w:rPr>
      </w:pPr>
      <w:r>
        <w:rPr>
          <w:rFonts w:hint="eastAsia" w:ascii="仿宋" w:hAnsi="仿宋" w:eastAsia="仿宋"/>
          <w:sz w:val="32"/>
          <w:szCs w:val="32"/>
        </w:rPr>
        <w:t>（二）、职责分类绩效目标</w:t>
      </w:r>
      <w:r>
        <w:rPr>
          <w:rFonts w:ascii="仿宋" w:hAnsi="仿宋" w:eastAsia="仿宋"/>
          <w:sz w:val="32"/>
          <w:szCs w:val="32"/>
        </w:rPr>
        <w:br w:type="textWrapping"/>
      </w:r>
      <w:r>
        <w:rPr>
          <w:rFonts w:ascii="仿宋" w:hAnsi="仿宋" w:eastAsia="仿宋"/>
          <w:sz w:val="32"/>
          <w:szCs w:val="32"/>
        </w:rPr>
        <w:t>  </w:t>
      </w:r>
      <w:r>
        <w:rPr>
          <w:rFonts w:hint="eastAsia" w:ascii="仿宋" w:hAnsi="仿宋" w:eastAsia="仿宋"/>
          <w:sz w:val="32"/>
          <w:szCs w:val="32"/>
        </w:rPr>
        <w:t>组织落实国务院和省、市有关粮食流通的法规、政策；研究制定全县粮食流通政策的落实办法；组织落实国家和省、市有关粮食流通体制改革的政策，指导全县粮食流通体制改革。</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制定全县粮食流通发展规划和年度计划；制定全县粮油流通产业结构调整和在布局调整的实施意见；制定全县粮食总量和品种平衡计划。</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建立和完善粮食储备制度，监管国家、省级和县级储备粮油；研究提出储备粮规模和吞吐计划，保障储粮安全；组织实施对全县粮食流通的宏观调控，调剂丰欠余缺，应付突发事件；按照上级指令及全市场需求及时组织抛售粮油，平抑粮价，稳定粮油市场。</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培育和完善粮食市场体系，制定粮食批发市场发展规划和管理办法，落实粮食流通准入制度，负责辖区内粮食购销企业，大型用粮企业和粮油批发企业收购经营资格审核工作，维护粮食流通秩序。</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按照国家有关法律、法规合法令对社会粮食流通进行行政执法监督检查粮食法规的执行情况，依法实施行政处罚，受理行政争议，指导粮食行政执法工作。</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负责全县粮食流通设施建设的规划，布局及实施工作；落实国家和省、市对粮食设施的建设的投资。</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按照现有粮食流通行业管理；推动全县国有粮食企业和国有控股企业技术改造和新技术推广；制定全县粮食系统粮油、饲料、食品等工业发展规划和布局；指导粮食企业在搞好本企业的基础上发展多种经营。</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组织落实粮食收购工作，指导企业按照“购得进、销得出、不亏损”的原则积极收购农民余粮，指导农民种植，推广实施“订单农业”。</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执行国家军粮供应政策，负责驻大厂回族自治县部队粮食供应计划的审核；协调粮源，落实军粮购销差价补贴的拨付和财务结算；组织军粮供应质量的监督和检查；完成全县军粮供应任务。</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调查统计社会粮食生产、流通、加工、储存、消费等情况，制定地方粮食。建立粮食预警机制，发布粮食供求信息，引导粮食生产与流通。</w:t>
      </w:r>
    </w:p>
    <w:p>
      <w:pPr>
        <w:widowControl/>
        <w:spacing w:line="420" w:lineRule="atLeast"/>
        <w:ind w:firstLine="557"/>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、实现年度发展规划目标的保障措施</w:t>
      </w:r>
    </w:p>
    <w:p>
      <w:pPr>
        <w:widowControl/>
        <w:spacing w:line="420" w:lineRule="atLeast"/>
        <w:ind w:firstLine="560"/>
        <w:jc w:val="left"/>
        <w:rPr>
          <w:rFonts w:ascii="仿宋" w:hAnsi="仿宋" w:eastAsia="仿宋"/>
          <w:sz w:val="32"/>
          <w:szCs w:val="32"/>
        </w:rPr>
      </w:pPr>
      <w:r>
        <w:rPr>
          <w:rFonts w:hint="eastAsia" w:ascii="仿宋" w:hAnsi="仿宋" w:eastAsia="仿宋"/>
          <w:sz w:val="32"/>
          <w:szCs w:val="32"/>
        </w:rPr>
        <w:t>按照省、市粮食部门的安排部署，全面落实《粮食流通管理条例》等法规规章，进一步加大粮食市场监管力度。一是坚持深入开展粮食行政执法检查，严厉打击不法商贩，保证以往治理成果，全面维护地区粮食流通环境；二是认真抓好粮食收购资格许可。深入粮食收购企业，了解粮食收购企业基本情况和诉求，并对涉粮收购企业进行检查，重点检查企业收购资质、价格、质量等方面内容，依法打击违法经营粮食活动，维护良好的市场秩序，保证粮食市场和价格的基本稳定；三是每月深入基层、企业、市场，全面开展社会粮食流通统计调查工作，为各级政府宏观调控摸清底数，掌握市场行情，提供可靠政策参考数据。</w:t>
      </w:r>
    </w:p>
    <w:p>
      <w:pPr>
        <w:ind w:firstLine="643" w:firstLineChars="200"/>
        <w:jc w:val="left"/>
        <w:rPr>
          <w:rFonts w:ascii="楷体" w:hAnsi="楷体" w:eastAsia="楷体"/>
          <w:b/>
          <w:sz w:val="32"/>
          <w:szCs w:val="32"/>
        </w:rPr>
      </w:pPr>
      <w:r>
        <w:rPr>
          <w:rFonts w:hint="eastAsia" w:ascii="楷体" w:hAnsi="楷体" w:eastAsia="楷体"/>
          <w:b/>
          <w:sz w:val="32"/>
          <w:szCs w:val="32"/>
        </w:rPr>
        <w:t>部门职责及工作活动绩效目标指标：</w:t>
      </w:r>
    </w:p>
    <w:p>
      <w:pPr>
        <w:jc w:val="center"/>
        <w:outlineLvl w:val="0"/>
        <w:rPr>
          <w:rFonts w:ascii="宋体"/>
          <w:b/>
          <w:sz w:val="32"/>
          <w:szCs w:val="24"/>
        </w:rPr>
      </w:pPr>
    </w:p>
    <w:p>
      <w:pPr>
        <w:jc w:val="center"/>
        <w:outlineLvl w:val="0"/>
        <w:rPr>
          <w:rFonts w:ascii="仿宋" w:hAnsi="仿宋" w:eastAsia="仿宋"/>
          <w:sz w:val="32"/>
          <w:szCs w:val="32"/>
        </w:rPr>
      </w:pPr>
      <w:r>
        <w:rPr>
          <w:rFonts w:hint="eastAsia" w:ascii="仿宋" w:hAnsi="仿宋" w:eastAsia="仿宋"/>
          <w:sz w:val="32"/>
          <w:szCs w:val="32"/>
        </w:rPr>
        <w:t>部门职责</w:t>
      </w:r>
      <w:r>
        <w:rPr>
          <w:rFonts w:ascii="仿宋" w:hAnsi="仿宋" w:eastAsia="仿宋"/>
          <w:sz w:val="32"/>
          <w:szCs w:val="32"/>
        </w:rPr>
        <w:t>-</w:t>
      </w:r>
      <w:r>
        <w:rPr>
          <w:rFonts w:hint="eastAsia" w:ascii="仿宋" w:hAnsi="仿宋" w:eastAsia="仿宋"/>
          <w:sz w:val="32"/>
          <w:szCs w:val="32"/>
        </w:rPr>
        <w:t>工作活动绩效目标</w:t>
      </w:r>
    </w:p>
    <w:bookmarkEnd w:id="0"/>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tblHeader/>
          <w:jc w:val="center"/>
        </w:trPr>
        <w:tc>
          <w:tcPr>
            <w:tcW w:w="13934" w:type="dxa"/>
            <w:gridSpan w:val="9"/>
            <w:tcBorders>
              <w:top w:val="nil"/>
              <w:left w:val="nil"/>
              <w:right w:val="nil"/>
            </w:tcBorders>
            <w:vAlign w:val="center"/>
          </w:tcPr>
          <w:p>
            <w:pPr>
              <w:jc w:val="left"/>
              <w:outlineLvl w:val="0"/>
              <w:rPr>
                <w:rFonts w:ascii="仿宋" w:hAnsi="仿宋" w:eastAsia="仿宋"/>
                <w:sz w:val="32"/>
                <w:szCs w:val="32"/>
              </w:rPr>
            </w:pPr>
            <w:r>
              <w:rPr>
                <w:rFonts w:ascii="仿宋" w:hAnsi="仿宋" w:eastAsia="仿宋"/>
                <w:bCs/>
                <w:sz w:val="28"/>
                <w:szCs w:val="28"/>
              </w:rPr>
              <w:t>449</w:t>
            </w:r>
            <w:r>
              <w:rPr>
                <w:rFonts w:hint="eastAsia" w:ascii="仿宋" w:hAnsi="仿宋" w:eastAsia="仿宋"/>
                <w:bCs/>
                <w:sz w:val="28"/>
                <w:szCs w:val="28"/>
              </w:rPr>
              <w:t>大厂回族自治县粮食局</w:t>
            </w:r>
            <w:r>
              <w:rPr>
                <w:rFonts w:ascii="仿宋" w:hAnsi="仿宋" w:eastAsia="仿宋"/>
                <w:bCs/>
                <w:sz w:val="28"/>
                <w:szCs w:val="28"/>
              </w:rPr>
              <w:t xml:space="preserve">                                                          </w:t>
            </w:r>
            <w:r>
              <w:rPr>
                <w:rFonts w:hint="eastAsia" w:ascii="仿宋" w:hAnsi="仿宋" w:eastAsia="仿宋"/>
                <w:bCs/>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一、粮食调控管理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16.6</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落实粮食购销政策，落实粮食最低收购价政策，保证军供等政策性粮食供应，负责县储粮行政管理，确保粮食流通规范有序</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确保夏秋粮收购政策落实到位，不出现</w:t>
            </w:r>
            <w:r>
              <w:rPr>
                <w:rFonts w:ascii="方正书宋_GBK" w:eastAsia="方正书宋_GBK"/>
              </w:rPr>
              <w:t>“</w:t>
            </w:r>
            <w:r>
              <w:rPr>
                <w:rFonts w:hint="eastAsia" w:ascii="方正书宋_GBK" w:eastAsia="方正书宋_GBK"/>
              </w:rPr>
              <w:t>卖粮难</w:t>
            </w:r>
            <w:r>
              <w:rPr>
                <w:rFonts w:ascii="方正书宋_GBK" w:eastAsia="方正书宋_GBK"/>
              </w:rPr>
              <w:t>”</w:t>
            </w:r>
            <w:r>
              <w:rPr>
                <w:rFonts w:hint="eastAsia" w:ascii="方正书宋_GBK" w:eastAsia="方正书宋_GBK"/>
              </w:rPr>
              <w:t>；落实国家供应政策，确保军需民用；落实粮食储备政策，确保数量真实、质量良好、存储安全</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、粮食流通统计调查</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全面掌握全县粮食流通、仓储设施、粮油加工、粮食库存、国有企业及国有资产运营状况等情况，及时反映粮食市场总体供需状况，为政府制定宏观调控政策提供数字依据。</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确保粮食产、购、销、存、加等数据以及仓储设施、国有资产、经济效益等宏观信息及时上报、汇总，保证数据信息全面、完整、正确、及时</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数据正确率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数据完整率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数据报送时限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提前报送</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规定时间内报送</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、储备粮管理</w:t>
            </w:r>
          </w:p>
        </w:tc>
        <w:tc>
          <w:tcPr>
            <w:tcW w:w="1276" w:type="dxa"/>
            <w:vMerge w:val="restart"/>
            <w:vAlign w:val="center"/>
          </w:tcPr>
          <w:p>
            <w:pPr>
              <w:spacing w:line="300" w:lineRule="exact"/>
              <w:jc w:val="left"/>
              <w:rPr>
                <w:rFonts w:ascii="方正书宋_GBK" w:eastAsia="方正书宋_GBK"/>
              </w:rPr>
            </w:pPr>
            <w:r>
              <w:rPr>
                <w:rFonts w:hint="eastAsia" w:ascii="方正书宋_GBK" w:eastAsia="方正书宋_GBK"/>
              </w:rPr>
              <w:t>16.6</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监督检查县级储备粮的数量、质量和储存安全；提出县级储备粮规模、布局、轮换、动用建议；制定县级储备粮各项业务管理制度和相关技术规范并监督执行。</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收的进、储的好、用的上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储备粮质量良好率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数量真实率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储备计划落实率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、粮食流通基础设施建设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制定全县粮食现代物流体系、粮食市场体系、粮食流通设施建设规划并组织实施，督导落实计划周期内粮食流通基础设施建设。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粮食基础设施与粮食流通需求相匹配，粮食仓储损耗控制在国家、省市标准范围内，科学储粮率技术应用得到基本普及。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粮食仓储损耗率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仓储设施完好率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仓容利用率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二、粮食质量安全监管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指导全县粮食储存保管及安全生产，负责对粮食收购、储存环节的粮食质量安全和原粮卫生进行监督管理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建立健全质检体系，提升检测能力，政策性粮食监管率实现</w:t>
            </w:r>
            <w:r>
              <w:rPr>
                <w:rFonts w:ascii="方正书宋_GBK" w:eastAsia="方正书宋_GBK"/>
              </w:rPr>
              <w:t>101%</w:t>
            </w:r>
            <w:r>
              <w:rPr>
                <w:rFonts w:hint="eastAsia" w:ascii="方正书宋_GBK" w:eastAsia="方正书宋_GBK"/>
              </w:rPr>
              <w:t>，扩大社会粮食监管范围</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、粮食质量安全监测与体系建设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完善粮食质检体系；对粮食收购、储存环节，以及储备粮等政策性粮食的质量进行安全、品质检测。</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及时掌握收获、收购、储存、政策性粮食质量安全和品质情况，为落实粮食收购政策提供依据，确保用粮安全；掌握重点企业、骨干企业粮食质量状况，标准符合县情。</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检查覆盖率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政策性粮食监管率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、粮食市场监测预警</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健全和完善粮食市场价格动态监测平台，提高粮食市场价格监测的准确性和及时性，为政府制定应急措施提供依据。</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粮食价格监测点布局合理，粮食市场监测预警信息上报及时，预警分析准确、及时。</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预警分析准确率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预警分析利用率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、粮食科技应用与推广</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推广普及粮食存储和加工先进技术，减少仓储及加工环节的粮食损失；提高小粮仓农户普及率，减少农户粮食存储损失。</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宣传推广科学储粮先进技术，促进企业收储、加工环节和农户储粮环节的粮食减损。</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粮食科技普及率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农户粮食减损量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三、粮食流通行政执法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对社会粮食流通进行行政执法，依法实施行政处罚；指导行业监督检查和行业执法工作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促进行政机关依法行政，企业合法经营，维护粮食流通市场秩序，保护粮食生产者、经营者和消费者合法权益</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、法规建设与监督检查</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规范粮食行政执法程序，健全行政执法相关制度；提高执法水平，推动粮食行政执法规范化、制度化；开展粮食政策、法规制度执法检查。</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执法检查常规化；执法人员持证上岗率</w:t>
            </w:r>
            <w:r>
              <w:rPr>
                <w:rFonts w:ascii="方正书宋_GBK" w:eastAsia="方正书宋_GBK"/>
              </w:rPr>
              <w:t>100%</w:t>
            </w:r>
            <w:r>
              <w:rPr>
                <w:rFonts w:hint="eastAsia" w:ascii="方正书宋_GBK" w:eastAsia="方正书宋_GBK"/>
              </w:rPr>
              <w:t>；落实行政执法责任制，规范粮食行政执法行为，提高行政执法水平。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持证上岗率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案件查处办结时限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提前办结</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规定时间内办结</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、行政复议及行政应诉</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承办行政复议案件，组织行政应诉工作。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提高行政复议和行政应诉能力。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行政应诉胜诉率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行政复议案件办结时限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提前办结</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规定时间内办结</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、全县粮油库存检查</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监督检查政策性粮油的数量、质量、存储安全以及粮食经营者的最高、最低粮油库存。</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促进粮食企业合法经营，确保粮食数量真实、质量良好。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库存账实相符率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检查覆盖率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四、粮食政务管理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负责粮食系统综合业务管理和机关综合事务管理。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确保机关正常运转，各项业务顺利推进，适应粮食事业发展需要</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制定全县粮食市场体系建设与发展规划并组织实施，编制粮食流通、仓储、加工设施建设规划，对粮食流通进行行政执法。完善粮食市场价格监测机制，提高粮食仓储水平。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夯实行业发展基础，壮大企业整体实力，促进产业健康发展；规范执法行为；粮食收购资格审批工作规范化、制度化。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项目规划准确率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收购资格审批办结时限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提前办结</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规定时间内办结</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w:t>
            </w:r>
            <w:r>
              <w:rPr>
                <w:rFonts w:ascii="方正书宋_GBK" w:eastAsia="方正书宋_GBK"/>
              </w:rPr>
              <w:t>“</w:t>
            </w:r>
            <w:r>
              <w:rPr>
                <w:rFonts w:hint="eastAsia" w:ascii="方正书宋_GBK" w:eastAsia="方正书宋_GBK"/>
              </w:rPr>
              <w:t>粮安工程</w:t>
            </w:r>
            <w:r>
              <w:rPr>
                <w:rFonts w:ascii="方正书宋_GBK" w:eastAsia="方正书宋_GBK"/>
              </w:rPr>
              <w:t>”</w:t>
            </w:r>
            <w:r>
              <w:rPr>
                <w:rFonts w:hint="eastAsia" w:ascii="方正书宋_GBK" w:eastAsia="方正书宋_GBK"/>
              </w:rPr>
              <w:t>信息化建设，做好行业职工教育培训工作、粮食政策资金监管工作，以及工作会议和一般性专业会议的组织工作。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保障信息网络畅通，及时发布粮食宏观政策，全面掌握粮食市场粮情变化；行政执法人员持证上岗、依法行政，专业技能水平达到行业发展要求；提升财务工作管理水平，促进企业财务行为合法、规范；确保会议经费不突破预算。</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项目规划准确率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黑体" w:hAnsi="黑体" w:eastAsia="黑体" w:cs="黑体"/>
          <w:sz w:val="32"/>
        </w:rPr>
      </w:pPr>
      <w:bookmarkStart w:id="1" w:name="_Toc471398468"/>
      <w:r>
        <w:rPr>
          <w:rFonts w:ascii="仿宋" w:hAnsi="仿宋" w:eastAsia="仿宋"/>
          <w:sz w:val="32"/>
          <w:szCs w:val="24"/>
        </w:rPr>
        <w:t>201</w:t>
      </w:r>
      <w:r>
        <w:rPr>
          <w:rFonts w:hint="eastAsia" w:ascii="仿宋" w:hAnsi="仿宋" w:eastAsia="仿宋"/>
          <w:sz w:val="32"/>
          <w:szCs w:val="24"/>
        </w:rPr>
        <w:t>9年，我部门未安排政府采购预算。</w:t>
      </w:r>
    </w:p>
    <w:p>
      <w:pPr>
        <w:rPr>
          <w:rFonts w:ascii="仿宋" w:hAnsi="仿宋" w:eastAsia="仿宋" w:cs="仿宋"/>
          <w:sz w:val="32"/>
        </w:rPr>
      </w:pPr>
    </w:p>
    <w:p>
      <w:pPr>
        <w:spacing w:line="584" w:lineRule="exact"/>
        <w:jc w:val="center"/>
        <w:outlineLvl w:val="0"/>
        <w:rPr>
          <w:rFonts w:ascii="Times New Roman" w:hAnsi="Times New Roman" w:eastAsia="仿宋_GB2312"/>
          <w:b/>
          <w:sz w:val="32"/>
        </w:rPr>
      </w:pPr>
      <w:bookmarkStart w:id="2" w:name="_Toc504489153"/>
      <w:r>
        <w:rPr>
          <w:rFonts w:hint="eastAsia" w:ascii="Times New Roman" w:hAnsi="Times New Roman" w:eastAsia="仿宋_GB2312"/>
          <w:b/>
          <w:sz w:val="32"/>
        </w:rPr>
        <w:t>部门政府采购预算</w:t>
      </w:r>
      <w:bookmarkEnd w:id="2"/>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bottom w:val="single" w:color="000000" w:sz="6" w:space="0"/>
              <w:right w:val="single" w:color="FFFFFF" w:sz="6" w:space="0"/>
            </w:tcBorders>
            <w:noWrap w:val="0"/>
            <w:vAlign w:val="center"/>
          </w:tcPr>
          <w:p>
            <w:pPr>
              <w:spacing w:line="584" w:lineRule="exact"/>
              <w:jc w:val="left"/>
              <w:rPr>
                <w:rFonts w:hint="eastAsia" w:ascii="仿宋_GB2312" w:hAnsi="Times New Roman" w:eastAsia="仿宋_GB2312"/>
                <w:sz w:val="24"/>
              </w:rPr>
            </w:pPr>
            <w:r>
              <w:rPr>
                <w:rFonts w:hint="eastAsia" w:ascii="仿宋_GB2312" w:hAnsi="Times New Roman" w:eastAsia="仿宋_GB2312"/>
                <w:sz w:val="24"/>
              </w:rPr>
              <w:t>[</w:t>
            </w:r>
            <w:r>
              <w:rPr>
                <w:rFonts w:hint="eastAsia" w:ascii="仿宋_GB2312" w:hAnsi="Times New Roman" w:eastAsia="仿宋_GB2312"/>
                <w:sz w:val="24"/>
                <w:lang w:val="en-US" w:eastAsia="zh-CN"/>
              </w:rPr>
              <w:t>449</w:t>
            </w:r>
            <w:r>
              <w:rPr>
                <w:rFonts w:hint="eastAsia" w:ascii="仿宋_GB2312" w:hAnsi="Times New Roman" w:eastAsia="仿宋_GB2312"/>
                <w:sz w:val="24"/>
              </w:rPr>
              <w:t>002]大厂回族自治县</w:t>
            </w:r>
            <w:r>
              <w:rPr>
                <w:rFonts w:hint="eastAsia" w:ascii="仿宋_GB2312" w:hAnsi="Times New Roman" w:eastAsia="仿宋_GB2312"/>
                <w:sz w:val="24"/>
                <w:lang w:eastAsia="zh-CN"/>
              </w:rPr>
              <w:t>粮食</w:t>
            </w:r>
            <w:r>
              <w:rPr>
                <w:rFonts w:hint="eastAsia" w:ascii="仿宋_GB2312" w:hAnsi="Times New Roman" w:eastAsia="仿宋_GB2312"/>
                <w:sz w:val="24"/>
              </w:rPr>
              <w:t>局</w:t>
            </w:r>
          </w:p>
        </w:tc>
        <w:tc>
          <w:tcPr>
            <w:tcW w:w="6391" w:type="dxa"/>
            <w:gridSpan w:val="7"/>
            <w:tcBorders>
              <w:top w:val="single" w:color="FFFFFF" w:sz="6" w:space="0"/>
              <w:left w:val="single" w:color="FFFFFF" w:sz="6" w:space="0"/>
              <w:bottom w:val="single" w:color="000000" w:sz="6" w:space="0"/>
              <w:right w:val="single" w:color="FFFFFF" w:sz="6" w:space="0"/>
            </w:tcBorders>
            <w:noWrap w:val="0"/>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932"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1372"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72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数量单位</w:t>
            </w:r>
          </w:p>
        </w:tc>
        <w:tc>
          <w:tcPr>
            <w:tcW w:w="74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95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6391" w:type="dxa"/>
            <w:gridSpan w:val="7"/>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1057"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932"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1372"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72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74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95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95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4555" w:type="dxa"/>
            <w:gridSpan w:val="5"/>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88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1057"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932"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1372"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72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74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95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95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79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924"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929"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88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1057"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3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b/>
              </w:rPr>
            </w:pPr>
          </w:p>
        </w:tc>
        <w:tc>
          <w:tcPr>
            <w:tcW w:w="137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b/>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b/>
              </w:rPr>
            </w:pPr>
          </w:p>
        </w:tc>
        <w:tc>
          <w:tcPr>
            <w:tcW w:w="74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79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24"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29"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88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center"/>
              <w:rPr>
                <w:rFonts w:ascii="Times New Roman" w:hAnsi="Times New Roman" w:eastAsia="仿宋_GB2312"/>
                <w:b/>
              </w:rPr>
            </w:pPr>
          </w:p>
        </w:tc>
        <w:tc>
          <w:tcPr>
            <w:tcW w:w="1057"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3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b/>
              </w:rPr>
            </w:pPr>
          </w:p>
        </w:tc>
        <w:tc>
          <w:tcPr>
            <w:tcW w:w="137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b/>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b/>
              </w:rPr>
            </w:pPr>
          </w:p>
        </w:tc>
        <w:tc>
          <w:tcPr>
            <w:tcW w:w="74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79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24"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929"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c>
          <w:tcPr>
            <w:tcW w:w="88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057"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3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37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4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79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4"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9"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88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057"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3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37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4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79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4"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9"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88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057"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3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37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4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79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4"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9"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88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057"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3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1372"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left"/>
              <w:rPr>
                <w:rFonts w:ascii="Times New Roman" w:hAnsi="Times New Roman" w:eastAsia="仿宋_GB2312"/>
              </w:rPr>
            </w:pPr>
          </w:p>
        </w:tc>
        <w:tc>
          <w:tcPr>
            <w:tcW w:w="74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56"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79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4"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929"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c>
          <w:tcPr>
            <w:tcW w:w="880" w:type="dxa"/>
            <w:tcBorders>
              <w:top w:val="single" w:color="000000" w:sz="6" w:space="0"/>
              <w:left w:val="single" w:color="000000" w:sz="6" w:space="0"/>
              <w:bottom w:val="single" w:color="000000" w:sz="6" w:space="0"/>
              <w:right w:val="single" w:color="000000" w:sz="6" w:space="0"/>
            </w:tcBorders>
            <w:noWrap w:val="0"/>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cols w:space="425" w:num="1"/>
          <w:docGrid w:type="lines" w:linePitch="312" w:charSpace="0"/>
        </w:sectPr>
      </w:pPr>
    </w:p>
    <w:p>
      <w:pPr>
        <w:ind w:firstLine="640" w:firstLineChars="200"/>
        <w:outlineLvl w:val="0"/>
        <w:rPr>
          <w:rFonts w:hint="eastAsia" w:ascii="仿宋" w:hAnsi="仿宋" w:eastAsia="仿宋"/>
          <w:sz w:val="32"/>
          <w:szCs w:val="24"/>
        </w:rPr>
      </w:pPr>
    </w:p>
    <w:bookmarkEnd w:id="1"/>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spacing w:line="560" w:lineRule="exact"/>
              <w:ind w:firstLine="640"/>
              <w:rPr>
                <w:rFonts w:ascii="仿宋" w:hAnsi="仿宋" w:eastAsia="仿宋"/>
                <w:sz w:val="32"/>
                <w:szCs w:val="24"/>
              </w:rPr>
            </w:pPr>
            <w:r>
              <w:rPr>
                <w:rFonts w:hint="eastAsia" w:ascii="仿宋" w:hAnsi="仿宋" w:eastAsia="仿宋"/>
                <w:sz w:val="32"/>
                <w:szCs w:val="24"/>
              </w:rPr>
              <w:t>大厂回族自治县粮食局上年末固定资产金额为</w:t>
            </w:r>
            <w:r>
              <w:rPr>
                <w:rFonts w:ascii="仿宋" w:hAnsi="仿宋" w:eastAsia="仿宋"/>
                <w:sz w:val="32"/>
                <w:szCs w:val="24"/>
              </w:rPr>
              <w:t>2</w:t>
            </w:r>
            <w:r>
              <w:rPr>
                <w:rFonts w:hint="eastAsia" w:ascii="仿宋" w:hAnsi="仿宋" w:eastAsia="仿宋"/>
                <w:sz w:val="32"/>
                <w:szCs w:val="24"/>
              </w:rPr>
              <w:t>9.55万元，本年度无拟购置固定资产。详见下表。</w:t>
            </w:r>
          </w:p>
          <w:p>
            <w:pPr>
              <w:widowControl/>
              <w:jc w:val="center"/>
              <w:rPr>
                <w:rFonts w:ascii="仿宋" w:hAnsi="仿宋" w:eastAsia="仿宋"/>
                <w:b/>
                <w:sz w:val="32"/>
                <w:szCs w:val="24"/>
              </w:rPr>
            </w:pPr>
            <w:r>
              <w:rPr>
                <w:rFonts w:hint="eastAsia" w:ascii="仿宋" w:hAnsi="仿宋" w:eastAsia="仿宋"/>
                <w:b/>
                <w:sz w:val="32"/>
                <w:szCs w:val="24"/>
              </w:rPr>
              <w:t>大厂回族自治县粮食局固定资产占用情况表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 w:hAnsi="仿宋" w:eastAsia="仿宋"/>
                <w:sz w:val="32"/>
                <w:szCs w:val="24"/>
              </w:rPr>
            </w:pPr>
            <w:r>
              <w:rPr>
                <w:rFonts w:hint="eastAsia" w:ascii="仿宋" w:hAnsi="仿宋" w:eastAsia="仿宋"/>
                <w:sz w:val="32"/>
                <w:szCs w:val="24"/>
              </w:rPr>
              <w:t>编制部门：</w:t>
            </w:r>
            <w:r>
              <w:rPr>
                <w:rFonts w:ascii="仿宋" w:hAnsi="仿宋" w:eastAsia="仿宋"/>
                <w:sz w:val="32"/>
                <w:szCs w:val="24"/>
              </w:rPr>
              <w:t>449</w:t>
            </w:r>
            <w:r>
              <w:rPr>
                <w:rFonts w:hint="eastAsia" w:ascii="仿宋" w:hAnsi="仿宋" w:eastAsia="仿宋"/>
                <w:sz w:val="32"/>
                <w:szCs w:val="24"/>
              </w:rPr>
              <w:t>大厂回族自治县粮食局</w:t>
            </w:r>
          </w:p>
        </w:tc>
        <w:tc>
          <w:tcPr>
            <w:tcW w:w="5103" w:type="dxa"/>
            <w:tcBorders>
              <w:top w:val="nil"/>
              <w:left w:val="nil"/>
              <w:bottom w:val="nil"/>
              <w:right w:val="nil"/>
            </w:tcBorders>
            <w:vAlign w:val="center"/>
          </w:tcPr>
          <w:p>
            <w:pPr>
              <w:widowControl/>
              <w:jc w:val="left"/>
              <w:rPr>
                <w:rFonts w:ascii="仿宋" w:hAnsi="仿宋" w:eastAsia="仿宋"/>
                <w:sz w:val="32"/>
                <w:szCs w:val="24"/>
              </w:rPr>
            </w:pPr>
            <w:r>
              <w:rPr>
                <w:rFonts w:hint="eastAsia" w:ascii="仿宋" w:hAnsi="仿宋" w:eastAsia="仿宋"/>
                <w:sz w:val="32"/>
                <w:szCs w:val="24"/>
              </w:rPr>
              <w:t>截止时间：</w:t>
            </w:r>
            <w:r>
              <w:rPr>
                <w:rFonts w:ascii="仿宋" w:hAnsi="仿宋" w:eastAsia="仿宋"/>
                <w:sz w:val="32"/>
                <w:szCs w:val="24"/>
              </w:rPr>
              <w:t>201</w:t>
            </w:r>
            <w:r>
              <w:rPr>
                <w:rFonts w:hint="eastAsia" w:ascii="仿宋" w:hAnsi="仿宋" w:eastAsia="仿宋"/>
                <w:sz w:val="32"/>
                <w:szCs w:val="24"/>
              </w:rPr>
              <w:t>8年</w:t>
            </w:r>
            <w:r>
              <w:rPr>
                <w:rFonts w:ascii="仿宋" w:hAnsi="仿宋" w:eastAsia="仿宋"/>
                <w:sz w:val="32"/>
                <w:szCs w:val="24"/>
              </w:rPr>
              <w:t>12</w:t>
            </w:r>
            <w:r>
              <w:rPr>
                <w:rFonts w:hint="eastAsia" w:ascii="仿宋" w:hAnsi="仿宋" w:eastAsia="仿宋"/>
                <w:sz w:val="32"/>
                <w:szCs w:val="24"/>
              </w:rPr>
              <w:t>月</w:t>
            </w:r>
            <w:r>
              <w:rPr>
                <w:rFonts w:ascii="仿宋" w:hAnsi="仿宋" w:eastAsia="仿宋"/>
                <w:sz w:val="32"/>
                <w:szCs w:val="24"/>
              </w:rPr>
              <w:t>31</w:t>
            </w:r>
            <w:r>
              <w:rPr>
                <w:rFonts w:hint="eastAsia" w:ascii="仿宋" w:hAnsi="仿宋" w:eastAsia="仿宋"/>
                <w:sz w:val="32"/>
                <w:szCs w:val="24"/>
              </w:rPr>
              <w:t>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29.55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3155" w:type="dxa"/>
            <w:tcBorders>
              <w:top w:val="nil"/>
              <w:left w:val="nil"/>
              <w:bottom w:val="single" w:color="auto" w:sz="4" w:space="0"/>
              <w:right w:val="single" w:color="auto" w:sz="4" w:space="0"/>
            </w:tcBorders>
          </w:tcPr>
          <w:p>
            <w:pPr>
              <w:widowControl/>
              <w:spacing w:before="150" w:line="560" w:lineRule="atLeast"/>
              <w:jc w:val="left"/>
              <w:rPr>
                <w:rFonts w:ascii="Verdana" w:hAnsi="Verdana" w:cs="宋体"/>
                <w:kern w:val="0"/>
                <w:sz w:val="28"/>
                <w:szCs w:val="28"/>
              </w:rPr>
            </w:pPr>
          </w:p>
        </w:tc>
        <w:tc>
          <w:tcPr>
            <w:tcW w:w="5103" w:type="dxa"/>
            <w:tcBorders>
              <w:top w:val="nil"/>
              <w:left w:val="nil"/>
              <w:bottom w:val="single" w:color="auto" w:sz="4" w:space="0"/>
              <w:right w:val="single" w:color="auto" w:sz="4" w:space="0"/>
            </w:tcBorders>
          </w:tcPr>
          <w:p>
            <w:pPr>
              <w:widowControl/>
              <w:spacing w:before="150" w:line="560" w:lineRule="atLeast"/>
              <w:jc w:val="left"/>
              <w:rPr>
                <w:rFonts w:ascii="Verdana" w:hAnsi="Verdana" w:cs="宋体"/>
                <w:kern w:val="0"/>
                <w:sz w:val="28"/>
                <w:szCs w:val="28"/>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其中：办公用房（平方米）</w:t>
            </w:r>
          </w:p>
        </w:tc>
        <w:tc>
          <w:tcPr>
            <w:tcW w:w="3155" w:type="dxa"/>
            <w:tcBorders>
              <w:top w:val="nil"/>
              <w:left w:val="nil"/>
              <w:bottom w:val="single" w:color="auto" w:sz="4" w:space="0"/>
              <w:right w:val="single" w:color="auto" w:sz="4" w:space="0"/>
            </w:tcBorders>
          </w:tcPr>
          <w:p>
            <w:pPr>
              <w:widowControl/>
              <w:spacing w:before="150" w:line="560" w:lineRule="atLeast"/>
              <w:jc w:val="left"/>
              <w:rPr>
                <w:rFonts w:ascii="Verdana" w:hAnsi="Verdana" w:cs="宋体"/>
                <w:kern w:val="0"/>
                <w:sz w:val="28"/>
                <w:szCs w:val="28"/>
              </w:rPr>
            </w:pPr>
          </w:p>
        </w:tc>
        <w:tc>
          <w:tcPr>
            <w:tcW w:w="5103" w:type="dxa"/>
            <w:tcBorders>
              <w:top w:val="nil"/>
              <w:left w:val="nil"/>
              <w:bottom w:val="single" w:color="auto" w:sz="4" w:space="0"/>
              <w:right w:val="single" w:color="auto" w:sz="4" w:space="0"/>
            </w:tcBorders>
          </w:tcPr>
          <w:p>
            <w:pPr>
              <w:widowControl/>
              <w:spacing w:before="150" w:line="560" w:lineRule="atLeast"/>
              <w:jc w:val="left"/>
              <w:rPr>
                <w:rFonts w:ascii="Verdana" w:hAnsi="Verdana" w:cs="宋体"/>
                <w:kern w:val="0"/>
                <w:sz w:val="28"/>
                <w:szCs w:val="28"/>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3155" w:type="dxa"/>
            <w:tcBorders>
              <w:top w:val="nil"/>
              <w:left w:val="nil"/>
              <w:bottom w:val="single" w:color="auto" w:sz="4" w:space="0"/>
              <w:right w:val="single" w:color="auto" w:sz="4" w:space="0"/>
            </w:tcBorders>
          </w:tcPr>
          <w:p>
            <w:pPr>
              <w:widowControl/>
              <w:spacing w:before="150" w:line="560" w:lineRule="atLeast"/>
              <w:jc w:val="center"/>
              <w:rPr>
                <w:rFonts w:ascii="Verdana" w:hAnsi="Verdana" w:cs="宋体"/>
                <w:kern w:val="0"/>
                <w:sz w:val="28"/>
                <w:szCs w:val="28"/>
              </w:rPr>
            </w:pPr>
            <w:r>
              <w:rPr>
                <w:rFonts w:ascii="Verdana" w:hAnsi="Verdana" w:cs="宋体"/>
                <w:kern w:val="0"/>
                <w:sz w:val="28"/>
                <w:szCs w:val="28"/>
              </w:rPr>
              <w:t>1</w:t>
            </w:r>
          </w:p>
        </w:tc>
        <w:tc>
          <w:tcPr>
            <w:tcW w:w="5103" w:type="dxa"/>
            <w:tcBorders>
              <w:top w:val="nil"/>
              <w:left w:val="nil"/>
              <w:bottom w:val="single" w:color="auto" w:sz="4" w:space="0"/>
              <w:right w:val="single" w:color="auto" w:sz="4" w:space="0"/>
            </w:tcBorders>
          </w:tcPr>
          <w:p>
            <w:pPr>
              <w:widowControl/>
              <w:spacing w:before="150" w:line="560" w:lineRule="atLeast"/>
              <w:jc w:val="center"/>
              <w:rPr>
                <w:rFonts w:ascii="Verdana" w:hAnsi="Verdana" w:cs="宋体"/>
                <w:kern w:val="0"/>
                <w:sz w:val="28"/>
                <w:szCs w:val="28"/>
              </w:rPr>
            </w:pPr>
            <w:r>
              <w:rPr>
                <w:rFonts w:ascii="Verdana" w:hAnsi="Verdana" w:cs="宋体"/>
                <w:kern w:val="0"/>
                <w:sz w:val="28"/>
                <w:szCs w:val="28"/>
              </w:rPr>
              <w:t>8.36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20</w:t>
            </w:r>
            <w:r>
              <w:rPr>
                <w:rFonts w:hint="eastAsia" w:ascii="仿宋" w:hAnsi="仿宋" w:eastAsia="仿宋" w:cs="宋体"/>
                <w:kern w:val="0"/>
                <w:sz w:val="32"/>
                <w:szCs w:val="32"/>
              </w:rPr>
              <w:t>万元以上的设备</w:t>
            </w:r>
          </w:p>
        </w:tc>
        <w:tc>
          <w:tcPr>
            <w:tcW w:w="3155" w:type="dxa"/>
            <w:tcBorders>
              <w:top w:val="nil"/>
              <w:left w:val="nil"/>
              <w:bottom w:val="single" w:color="auto" w:sz="4" w:space="0"/>
              <w:right w:val="single" w:color="auto" w:sz="4" w:space="0"/>
            </w:tcBorders>
          </w:tcPr>
          <w:p>
            <w:pPr>
              <w:widowControl/>
              <w:spacing w:before="150" w:line="560" w:lineRule="atLeast"/>
              <w:jc w:val="center"/>
              <w:rPr>
                <w:rFonts w:ascii="Verdana" w:hAnsi="Verdana" w:cs="宋体"/>
                <w:kern w:val="0"/>
                <w:sz w:val="28"/>
                <w:szCs w:val="28"/>
              </w:rPr>
            </w:pPr>
          </w:p>
        </w:tc>
        <w:tc>
          <w:tcPr>
            <w:tcW w:w="5103" w:type="dxa"/>
            <w:tcBorders>
              <w:top w:val="nil"/>
              <w:left w:val="nil"/>
              <w:bottom w:val="single" w:color="auto" w:sz="4" w:space="0"/>
              <w:right w:val="single" w:color="auto" w:sz="4" w:space="0"/>
            </w:tcBorders>
          </w:tcPr>
          <w:p>
            <w:pPr>
              <w:widowControl/>
              <w:spacing w:before="150" w:line="560" w:lineRule="atLeast"/>
              <w:jc w:val="left"/>
              <w:rPr>
                <w:rFonts w:ascii="Verdana" w:hAnsi="Verdana" w:cs="宋体"/>
                <w:kern w:val="0"/>
                <w:sz w:val="28"/>
                <w:szCs w:val="28"/>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3155" w:type="dxa"/>
            <w:tcBorders>
              <w:top w:val="nil"/>
              <w:left w:val="nil"/>
              <w:bottom w:val="single" w:color="auto" w:sz="4" w:space="0"/>
              <w:right w:val="single" w:color="auto" w:sz="4" w:space="0"/>
            </w:tcBorders>
          </w:tcPr>
          <w:p>
            <w:pPr>
              <w:widowControl/>
              <w:spacing w:before="150" w:line="560" w:lineRule="atLeast"/>
              <w:jc w:val="center"/>
              <w:rPr>
                <w:rFonts w:ascii="Verdana" w:hAnsi="Verdana" w:cs="宋体"/>
                <w:kern w:val="0"/>
                <w:sz w:val="28"/>
                <w:szCs w:val="28"/>
              </w:rPr>
            </w:pPr>
            <w:r>
              <w:rPr>
                <w:rFonts w:hint="eastAsia" w:ascii="Verdana" w:hAnsi="Verdana" w:cs="宋体"/>
                <w:kern w:val="0"/>
                <w:sz w:val="28"/>
                <w:szCs w:val="28"/>
              </w:rPr>
              <w:t>133</w:t>
            </w:r>
          </w:p>
        </w:tc>
        <w:tc>
          <w:tcPr>
            <w:tcW w:w="5103" w:type="dxa"/>
            <w:tcBorders>
              <w:top w:val="nil"/>
              <w:left w:val="nil"/>
              <w:bottom w:val="single" w:color="auto" w:sz="4" w:space="0"/>
              <w:right w:val="single" w:color="auto" w:sz="4" w:space="0"/>
            </w:tcBorders>
          </w:tcPr>
          <w:p>
            <w:pPr>
              <w:widowControl/>
              <w:spacing w:before="150" w:line="560" w:lineRule="atLeast"/>
              <w:jc w:val="center"/>
              <w:rPr>
                <w:rFonts w:ascii="Verdana" w:hAnsi="Verdana" w:cs="宋体"/>
                <w:kern w:val="0"/>
                <w:sz w:val="28"/>
                <w:szCs w:val="28"/>
              </w:rPr>
            </w:pPr>
            <w:r>
              <w:rPr>
                <w:rFonts w:hint="eastAsia" w:ascii="Verdana" w:hAnsi="Verdana" w:cs="宋体"/>
                <w:kern w:val="0"/>
                <w:sz w:val="28"/>
                <w:szCs w:val="28"/>
              </w:rPr>
              <w:t>21.19</w:t>
            </w:r>
          </w:p>
        </w:tc>
      </w:tr>
    </w:tbl>
    <w:p>
      <w:pPr>
        <w:rPr>
          <w:rFonts w:ascii="方正黑体_GBK" w:hAnsi="黑体" w:eastAsia="方正黑体_GBK"/>
          <w:color w:val="FF0000"/>
          <w:sz w:val="32"/>
          <w:szCs w:val="32"/>
        </w:rPr>
      </w:pP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八、名词解释</w:t>
      </w:r>
    </w:p>
    <w:p>
      <w:pPr>
        <w:autoSpaceDE w:val="0"/>
        <w:autoSpaceDN w:val="0"/>
        <w:adjustRightInd w:val="0"/>
        <w:ind w:firstLine="640" w:firstLineChars="200"/>
        <w:jc w:val="left"/>
        <w:rPr>
          <w:rFonts w:ascii="黑体" w:hAnsi="黑体" w:eastAsia="黑体"/>
          <w:sz w:val="32"/>
          <w:szCs w:val="32"/>
        </w:rPr>
      </w:pPr>
      <w:r>
        <w:rPr>
          <w:rFonts w:ascii="仿宋" w:hAnsi="仿宋" w:eastAsia="仿宋" w:cs="仿宋"/>
          <w:sz w:val="32"/>
          <w:szCs w:val="32"/>
        </w:rPr>
        <w:t>1</w:t>
      </w:r>
      <w:r>
        <w:rPr>
          <w:rFonts w:hint="eastAsia" w:ascii="仿宋" w:hAnsi="仿宋" w:eastAsia="仿宋" w:cs="仿宋"/>
          <w:sz w:val="32"/>
          <w:szCs w:val="32"/>
        </w:rPr>
        <w:t>、一般公共预算拨款收入：指县级财政当年拨付的资金。</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、事业收入：指事业单位开展专业业务活动及辅助活动所取得的收入。</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、其他收入：指除上述“财政拨款收入”、“事业收入”等以外的收入。主要是按规定动用的租房收入、存款利息收入等。</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、基本支出：指为保障机构正常运转、完成日常工作任务而发生的人员支出和公用支出。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、项目支出：指在基本支出之外为完成特定行政任务和事业发展目标所发生的支出。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、上缴上级支出：指下级单位上缴上级的支出。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800" w:firstLineChars="250"/>
        <w:rPr>
          <w:rFonts w:ascii="仿宋" w:hAnsi="仿宋" w:eastAsia="仿宋"/>
          <w:sz w:val="32"/>
          <w:szCs w:val="32"/>
        </w:rPr>
      </w:pPr>
      <w:r>
        <w:rPr>
          <w:rFonts w:hint="eastAsia" w:ascii="仿宋" w:hAnsi="仿宋" w:eastAsia="仿宋"/>
          <w:sz w:val="32"/>
          <w:szCs w:val="32"/>
        </w:rPr>
        <w:t>无其它需要说明的事项。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7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书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2F32"/>
    <w:rsid w:val="0000303D"/>
    <w:rsid w:val="00024231"/>
    <w:rsid w:val="00036607"/>
    <w:rsid w:val="00037AF6"/>
    <w:rsid w:val="00040B36"/>
    <w:rsid w:val="00045A61"/>
    <w:rsid w:val="00056B36"/>
    <w:rsid w:val="00075D5F"/>
    <w:rsid w:val="00080B76"/>
    <w:rsid w:val="00084CD8"/>
    <w:rsid w:val="00090533"/>
    <w:rsid w:val="000A33E7"/>
    <w:rsid w:val="000C2B8B"/>
    <w:rsid w:val="000C3A19"/>
    <w:rsid w:val="000C7010"/>
    <w:rsid w:val="000E4568"/>
    <w:rsid w:val="001140F6"/>
    <w:rsid w:val="00115F82"/>
    <w:rsid w:val="0011631A"/>
    <w:rsid w:val="00122AD5"/>
    <w:rsid w:val="001245BB"/>
    <w:rsid w:val="001274E5"/>
    <w:rsid w:val="00132E12"/>
    <w:rsid w:val="001567B1"/>
    <w:rsid w:val="00157A2C"/>
    <w:rsid w:val="00157E74"/>
    <w:rsid w:val="00170D5C"/>
    <w:rsid w:val="0018479D"/>
    <w:rsid w:val="001A6B2C"/>
    <w:rsid w:val="001B369F"/>
    <w:rsid w:val="001B7830"/>
    <w:rsid w:val="001E303A"/>
    <w:rsid w:val="001F55D2"/>
    <w:rsid w:val="00226265"/>
    <w:rsid w:val="00232792"/>
    <w:rsid w:val="00232A26"/>
    <w:rsid w:val="00241FD4"/>
    <w:rsid w:val="002450D7"/>
    <w:rsid w:val="002467EA"/>
    <w:rsid w:val="00251B12"/>
    <w:rsid w:val="00261C0F"/>
    <w:rsid w:val="002645FB"/>
    <w:rsid w:val="00296113"/>
    <w:rsid w:val="002A016D"/>
    <w:rsid w:val="002A3F5D"/>
    <w:rsid w:val="002A5448"/>
    <w:rsid w:val="002A591B"/>
    <w:rsid w:val="002C2FCE"/>
    <w:rsid w:val="002F3E58"/>
    <w:rsid w:val="00300CF1"/>
    <w:rsid w:val="0030542C"/>
    <w:rsid w:val="00311B7A"/>
    <w:rsid w:val="00341051"/>
    <w:rsid w:val="00362B69"/>
    <w:rsid w:val="003A42AA"/>
    <w:rsid w:val="003A4525"/>
    <w:rsid w:val="003C302B"/>
    <w:rsid w:val="003C44CF"/>
    <w:rsid w:val="003D691A"/>
    <w:rsid w:val="003E185E"/>
    <w:rsid w:val="003E1A7F"/>
    <w:rsid w:val="003F6ED1"/>
    <w:rsid w:val="00400FDE"/>
    <w:rsid w:val="00402B32"/>
    <w:rsid w:val="00424BA8"/>
    <w:rsid w:val="004509E4"/>
    <w:rsid w:val="00451871"/>
    <w:rsid w:val="004605AD"/>
    <w:rsid w:val="00472923"/>
    <w:rsid w:val="0048651C"/>
    <w:rsid w:val="004A0CE1"/>
    <w:rsid w:val="004A7785"/>
    <w:rsid w:val="004C4F2F"/>
    <w:rsid w:val="004C61E8"/>
    <w:rsid w:val="004E3066"/>
    <w:rsid w:val="004E74CD"/>
    <w:rsid w:val="005032A2"/>
    <w:rsid w:val="00503428"/>
    <w:rsid w:val="00503846"/>
    <w:rsid w:val="005220D0"/>
    <w:rsid w:val="00534DAE"/>
    <w:rsid w:val="00536CC2"/>
    <w:rsid w:val="00564851"/>
    <w:rsid w:val="00573562"/>
    <w:rsid w:val="00575B75"/>
    <w:rsid w:val="005845B6"/>
    <w:rsid w:val="005857C9"/>
    <w:rsid w:val="00590375"/>
    <w:rsid w:val="005C0C90"/>
    <w:rsid w:val="005D555C"/>
    <w:rsid w:val="005F5F14"/>
    <w:rsid w:val="00602486"/>
    <w:rsid w:val="006049C3"/>
    <w:rsid w:val="00614A29"/>
    <w:rsid w:val="006162A0"/>
    <w:rsid w:val="006560AE"/>
    <w:rsid w:val="00665732"/>
    <w:rsid w:val="0067628E"/>
    <w:rsid w:val="00687A46"/>
    <w:rsid w:val="0069425C"/>
    <w:rsid w:val="006B365F"/>
    <w:rsid w:val="006C26BC"/>
    <w:rsid w:val="006C5021"/>
    <w:rsid w:val="006D6F71"/>
    <w:rsid w:val="006E6955"/>
    <w:rsid w:val="006F2CC8"/>
    <w:rsid w:val="00702941"/>
    <w:rsid w:val="00723D99"/>
    <w:rsid w:val="00726F5A"/>
    <w:rsid w:val="00747463"/>
    <w:rsid w:val="0075393C"/>
    <w:rsid w:val="007630F7"/>
    <w:rsid w:val="00763E2D"/>
    <w:rsid w:val="00776C08"/>
    <w:rsid w:val="00783541"/>
    <w:rsid w:val="00785677"/>
    <w:rsid w:val="00795D06"/>
    <w:rsid w:val="007A2A1C"/>
    <w:rsid w:val="007A49CD"/>
    <w:rsid w:val="007B4EE0"/>
    <w:rsid w:val="007E1DA8"/>
    <w:rsid w:val="007F6C26"/>
    <w:rsid w:val="00800E85"/>
    <w:rsid w:val="00805BFA"/>
    <w:rsid w:val="00821887"/>
    <w:rsid w:val="0083069C"/>
    <w:rsid w:val="008334AE"/>
    <w:rsid w:val="0083396A"/>
    <w:rsid w:val="00836FED"/>
    <w:rsid w:val="00845CD2"/>
    <w:rsid w:val="008502D8"/>
    <w:rsid w:val="00852B0D"/>
    <w:rsid w:val="008814F5"/>
    <w:rsid w:val="00881692"/>
    <w:rsid w:val="0088582C"/>
    <w:rsid w:val="00893755"/>
    <w:rsid w:val="0089658F"/>
    <w:rsid w:val="00896BDC"/>
    <w:rsid w:val="008A6A9D"/>
    <w:rsid w:val="008B3CC5"/>
    <w:rsid w:val="008C2BAF"/>
    <w:rsid w:val="008C39C6"/>
    <w:rsid w:val="008C4A88"/>
    <w:rsid w:val="008C5942"/>
    <w:rsid w:val="008E0FC1"/>
    <w:rsid w:val="008E4261"/>
    <w:rsid w:val="008F4662"/>
    <w:rsid w:val="008F4F6D"/>
    <w:rsid w:val="008F743B"/>
    <w:rsid w:val="0090210C"/>
    <w:rsid w:val="00905D08"/>
    <w:rsid w:val="00925753"/>
    <w:rsid w:val="00926CCD"/>
    <w:rsid w:val="00953912"/>
    <w:rsid w:val="009644CC"/>
    <w:rsid w:val="00966C5C"/>
    <w:rsid w:val="00967BAA"/>
    <w:rsid w:val="009727DD"/>
    <w:rsid w:val="00973104"/>
    <w:rsid w:val="009B242A"/>
    <w:rsid w:val="009C2B19"/>
    <w:rsid w:val="009E2540"/>
    <w:rsid w:val="009E2D26"/>
    <w:rsid w:val="00A206CF"/>
    <w:rsid w:val="00A421CD"/>
    <w:rsid w:val="00A518E8"/>
    <w:rsid w:val="00A72D2E"/>
    <w:rsid w:val="00A730D4"/>
    <w:rsid w:val="00A911E7"/>
    <w:rsid w:val="00A939D9"/>
    <w:rsid w:val="00AD3999"/>
    <w:rsid w:val="00AD7C9C"/>
    <w:rsid w:val="00AF1EBA"/>
    <w:rsid w:val="00AF4D74"/>
    <w:rsid w:val="00B07C28"/>
    <w:rsid w:val="00B07D0B"/>
    <w:rsid w:val="00B20712"/>
    <w:rsid w:val="00B264D9"/>
    <w:rsid w:val="00B30A83"/>
    <w:rsid w:val="00B35DFD"/>
    <w:rsid w:val="00B43238"/>
    <w:rsid w:val="00B74BB0"/>
    <w:rsid w:val="00B75216"/>
    <w:rsid w:val="00B80C16"/>
    <w:rsid w:val="00B91D52"/>
    <w:rsid w:val="00BA1ACD"/>
    <w:rsid w:val="00BA4586"/>
    <w:rsid w:val="00BA771C"/>
    <w:rsid w:val="00BE22DE"/>
    <w:rsid w:val="00C13885"/>
    <w:rsid w:val="00C6398C"/>
    <w:rsid w:val="00C63A2B"/>
    <w:rsid w:val="00C6593D"/>
    <w:rsid w:val="00C750E9"/>
    <w:rsid w:val="00C90480"/>
    <w:rsid w:val="00C904FF"/>
    <w:rsid w:val="00C90F19"/>
    <w:rsid w:val="00CA3674"/>
    <w:rsid w:val="00CA7176"/>
    <w:rsid w:val="00CD2773"/>
    <w:rsid w:val="00CD6252"/>
    <w:rsid w:val="00CE143B"/>
    <w:rsid w:val="00D14866"/>
    <w:rsid w:val="00D20A21"/>
    <w:rsid w:val="00D21BF1"/>
    <w:rsid w:val="00D40A9C"/>
    <w:rsid w:val="00D46749"/>
    <w:rsid w:val="00D471D9"/>
    <w:rsid w:val="00D47FD8"/>
    <w:rsid w:val="00D51D41"/>
    <w:rsid w:val="00D5635F"/>
    <w:rsid w:val="00D652A4"/>
    <w:rsid w:val="00D900E6"/>
    <w:rsid w:val="00D914FC"/>
    <w:rsid w:val="00D9708D"/>
    <w:rsid w:val="00DA4679"/>
    <w:rsid w:val="00DA56F1"/>
    <w:rsid w:val="00DD2923"/>
    <w:rsid w:val="00DE239F"/>
    <w:rsid w:val="00DE6906"/>
    <w:rsid w:val="00DF1584"/>
    <w:rsid w:val="00E03394"/>
    <w:rsid w:val="00E04DBE"/>
    <w:rsid w:val="00E13D33"/>
    <w:rsid w:val="00E14843"/>
    <w:rsid w:val="00E167C7"/>
    <w:rsid w:val="00E4508D"/>
    <w:rsid w:val="00E602B7"/>
    <w:rsid w:val="00E62488"/>
    <w:rsid w:val="00E6328E"/>
    <w:rsid w:val="00E80C50"/>
    <w:rsid w:val="00E81411"/>
    <w:rsid w:val="00E9751D"/>
    <w:rsid w:val="00EC47F6"/>
    <w:rsid w:val="00ED1533"/>
    <w:rsid w:val="00EE0BA2"/>
    <w:rsid w:val="00EE1B43"/>
    <w:rsid w:val="00EF0E43"/>
    <w:rsid w:val="00F153EF"/>
    <w:rsid w:val="00F15A90"/>
    <w:rsid w:val="00F22FDF"/>
    <w:rsid w:val="00F40517"/>
    <w:rsid w:val="00F55FB6"/>
    <w:rsid w:val="00F573FE"/>
    <w:rsid w:val="00F66032"/>
    <w:rsid w:val="00F93AD5"/>
    <w:rsid w:val="00F958C2"/>
    <w:rsid w:val="00FB31E4"/>
    <w:rsid w:val="00FC4CE5"/>
    <w:rsid w:val="00FC57BC"/>
    <w:rsid w:val="00FE659B"/>
    <w:rsid w:val="00FF09C7"/>
    <w:rsid w:val="10744710"/>
    <w:rsid w:val="17F52EB4"/>
    <w:rsid w:val="18F0268E"/>
    <w:rsid w:val="2A2206C3"/>
    <w:rsid w:val="4AD45B1F"/>
    <w:rsid w:val="4EC746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locked/>
    <w:uiPriority w:val="99"/>
    <w:pPr>
      <w:keepNext/>
      <w:keepLines/>
      <w:spacing w:line="576" w:lineRule="auto"/>
      <w:outlineLvl w:val="0"/>
    </w:pPr>
    <w:rPr>
      <w:b/>
      <w:kern w:val="44"/>
      <w:sz w:val="44"/>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character" w:customStyle="1" w:styleId="9">
    <w:name w:val="标题 1 Char"/>
    <w:basedOn w:val="8"/>
    <w:link w:val="2"/>
    <w:qFormat/>
    <w:locked/>
    <w:uiPriority w:val="99"/>
    <w:rPr>
      <w:rFonts w:cs="Times New Roman"/>
      <w:b/>
      <w:kern w:val="44"/>
      <w:sz w:val="44"/>
    </w:rPr>
  </w:style>
  <w:style w:type="character" w:customStyle="1" w:styleId="10">
    <w:name w:val="页脚 Char"/>
    <w:basedOn w:val="8"/>
    <w:link w:val="3"/>
    <w:qFormat/>
    <w:locked/>
    <w:uiPriority w:val="99"/>
    <w:rPr>
      <w:rFonts w:ascii="Times New Roman" w:hAnsi="Times New Roman" w:eastAsia="宋体" w:cs="Times New Roman"/>
      <w:sz w:val="18"/>
    </w:rPr>
  </w:style>
  <w:style w:type="character" w:customStyle="1" w:styleId="11">
    <w:name w:val="页眉 Char"/>
    <w:basedOn w:val="8"/>
    <w:link w:val="4"/>
    <w:qFormat/>
    <w:locked/>
    <w:uiPriority w:val="99"/>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975</Words>
  <Characters>5559</Characters>
  <Lines>46</Lines>
  <Paragraphs>13</Paragraphs>
  <TotalTime>2</TotalTime>
  <ScaleCrop>false</ScaleCrop>
  <LinksUpToDate>false</LinksUpToDate>
  <CharactersWithSpaces>6521</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2024-01-22T07:35:48Z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3649093CB88C482BB90686BF0F48EA4C</vt:lpwstr>
  </property>
</Properties>
</file>